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ECA5985" w:rsidR="00E66558" w:rsidRPr="00E27862" w:rsidRDefault="00D53216">
            <w:pPr>
              <w:pStyle w:val="TableRow"/>
              <w:rPr>
                <w:color w:val="auto"/>
              </w:rPr>
            </w:pPr>
            <w:proofErr w:type="spellStart"/>
            <w:r>
              <w:rPr>
                <w:color w:val="auto"/>
              </w:rPr>
              <w:t>Tydd</w:t>
            </w:r>
            <w:proofErr w:type="spellEnd"/>
            <w:r>
              <w:rPr>
                <w:color w:val="auto"/>
              </w:rPr>
              <w:t xml:space="preserve"> St Mary</w:t>
            </w:r>
            <w:r w:rsidR="00A96D9B">
              <w:rPr>
                <w:color w:val="auto"/>
              </w:rPr>
              <w:t xml:space="preserve"> Church of England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C9666E5" w:rsidR="00E66558" w:rsidRPr="00E27862" w:rsidRDefault="00D53216">
            <w:pPr>
              <w:pStyle w:val="TableRow"/>
              <w:rPr>
                <w:color w:val="auto"/>
              </w:rPr>
            </w:pPr>
            <w:r>
              <w:rPr>
                <w:color w:val="auto"/>
              </w:rPr>
              <w:t>101</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1772BA" w:rsidR="00E66558" w:rsidRPr="00E27862" w:rsidRDefault="00D53216">
            <w:pPr>
              <w:pStyle w:val="TableRow"/>
              <w:rPr>
                <w:color w:val="auto"/>
              </w:rPr>
            </w:pPr>
            <w:r>
              <w:rPr>
                <w:color w:val="auto"/>
              </w:rPr>
              <w:t>19</w:t>
            </w:r>
            <w:r w:rsidR="0068291A">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E6CD54"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E27862" w:rsidRDefault="00772D78">
            <w:pPr>
              <w:pStyle w:val="TableRow"/>
              <w:rPr>
                <w:color w:val="auto"/>
              </w:rPr>
            </w:pPr>
            <w:r w:rsidRPr="00E27862">
              <w:rPr>
                <w:color w:val="auto"/>
              </w:rPr>
              <w:t>Dece</w:t>
            </w:r>
            <w:r w:rsidR="00755D22" w:rsidRPr="00E27862">
              <w:rPr>
                <w:color w:val="auto"/>
              </w:rPr>
              <w:t>mber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E27862" w:rsidRDefault="005D0176">
            <w:pPr>
              <w:pStyle w:val="TableRow"/>
              <w:rPr>
                <w:color w:val="auto"/>
              </w:rPr>
            </w:pPr>
            <w:r w:rsidRPr="00E27862">
              <w:rPr>
                <w:color w:val="auto"/>
              </w:rPr>
              <w:t>July 2022</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CC2844E" w:rsidR="00E66558" w:rsidRPr="00E27862" w:rsidRDefault="00A96D9B" w:rsidP="00DC649D">
            <w:pPr>
              <w:pStyle w:val="TableRow"/>
              <w:rPr>
                <w:color w:val="auto"/>
              </w:rPr>
            </w:pPr>
            <w:r>
              <w:rPr>
                <w:color w:val="auto"/>
              </w:rPr>
              <w:t>Sonya Ely Executive</w:t>
            </w:r>
            <w:r w:rsidR="00547948" w:rsidRPr="00E27862">
              <w:rPr>
                <w:color w:val="auto"/>
              </w:rPr>
              <w:t xml:space="preserve"> </w:t>
            </w:r>
            <w:r w:rsidR="005D0176"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7AD95F" w:rsidR="00E66558" w:rsidRPr="00E27862" w:rsidRDefault="00A96D9B">
            <w:pPr>
              <w:pStyle w:val="TableRow"/>
              <w:rPr>
                <w:color w:val="auto"/>
              </w:rPr>
            </w:pPr>
            <w:r>
              <w:rPr>
                <w:color w:val="auto"/>
                <w:szCs w:val="28"/>
              </w:rPr>
              <w:t>Lucie Burton</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9690B59" w:rsidR="00E66558" w:rsidRPr="00E27862" w:rsidRDefault="009D71E8">
            <w:pPr>
              <w:pStyle w:val="TableRow"/>
              <w:rPr>
                <w:color w:val="auto"/>
              </w:rPr>
            </w:pPr>
            <w:r w:rsidRPr="00E27862">
              <w:rPr>
                <w:color w:val="auto"/>
              </w:rPr>
              <w:t>Governor</w:t>
            </w:r>
            <w:r w:rsidRPr="00E27862">
              <w:rPr>
                <w:color w:val="auto"/>
                <w:szCs w:val="22"/>
              </w:rPr>
              <w:t xml:space="preserv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CD90EA" w:rsidR="00E66558" w:rsidRPr="00E27862" w:rsidRDefault="00A96D9B" w:rsidP="00547948">
            <w:pPr>
              <w:pStyle w:val="TableRow"/>
              <w:rPr>
                <w:color w:val="auto"/>
                <w:szCs w:val="28"/>
              </w:rPr>
            </w:pPr>
            <w:r>
              <w:rPr>
                <w:color w:val="auto"/>
                <w:szCs w:val="28"/>
              </w:rPr>
              <w:t>Sandra Hornsby</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9B60461" w:rsidR="00E66558" w:rsidRPr="00E27862" w:rsidRDefault="00D53216">
            <w:pPr>
              <w:pStyle w:val="TableRow"/>
              <w:rPr>
                <w:color w:val="auto"/>
              </w:rPr>
            </w:pPr>
            <w:r>
              <w:rPr>
                <w:color w:val="auto"/>
              </w:rPr>
              <w:t>£</w:t>
            </w:r>
            <w:r w:rsidR="00DB048F">
              <w:rPr>
                <w:color w:val="auto"/>
              </w:rPr>
              <w:t>28245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28FF69C" w:rsidR="00E66558" w:rsidRPr="00E27862" w:rsidRDefault="00D53216">
            <w:pPr>
              <w:pStyle w:val="TableRow"/>
              <w:rPr>
                <w:color w:val="auto"/>
              </w:rPr>
            </w:pPr>
            <w:r>
              <w:rPr>
                <w:color w:val="auto"/>
              </w:rPr>
              <w:t>£</w:t>
            </w:r>
            <w:r w:rsidR="00DB048F">
              <w:rPr>
                <w:color w:val="auto"/>
              </w:rPr>
              <w:t>3190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5C83FF95" w:rsidR="00E66558" w:rsidRPr="00E27862" w:rsidRDefault="00E66558">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F2CE254" w:rsidR="00E66558" w:rsidRPr="00E27862" w:rsidRDefault="00D53216">
            <w:pPr>
              <w:pStyle w:val="TableRow"/>
              <w:rPr>
                <w:color w:val="auto"/>
              </w:rPr>
            </w:pPr>
            <w:r>
              <w:rPr>
                <w:color w:val="auto"/>
              </w:rPr>
              <w:t>£</w:t>
            </w:r>
            <w:r w:rsidR="002B3297">
              <w:rPr>
                <w:color w:val="auto"/>
              </w:rPr>
              <w:t>31435</w:t>
            </w:r>
            <w:bookmarkStart w:id="14" w:name="_GoBack"/>
            <w:bookmarkEnd w:id="14"/>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1C6FCC06" w:rsidR="00C07F5E"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07F2B596" w14:textId="57D83F43" w:rsidR="00A96D9B" w:rsidRPr="00E27862" w:rsidRDefault="00A96D9B" w:rsidP="00840E17">
            <w:pPr>
              <w:spacing w:before="120"/>
              <w:rPr>
                <w:rFonts w:cs="Arial"/>
                <w:iCs/>
                <w:color w:val="auto"/>
                <w:lang w:val="en-US"/>
              </w:rPr>
            </w:pPr>
            <w:r>
              <w:t xml:space="preserve">We take every child as an individual, and are well aware of their individual needs. We create a bespoke action plan for every child eligible for pupil premium. We are passionate about success for all and strongly belief that a child’s socio-economic background should not be a barrier to future life success. In </w:t>
            </w:r>
            <w:proofErr w:type="gramStart"/>
            <w:r>
              <w:t>fact</w:t>
            </w:r>
            <w:proofErr w:type="gramEnd"/>
            <w:r>
              <w:t xml:space="preserve"> these children deserve the very best teaching that can be provided so that any gaps on entry are swiftly narrowed.</w:t>
            </w:r>
          </w:p>
          <w:p w14:paraId="3BAE372F" w14:textId="1DFFDD5C"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0112743" w14:textId="77777777" w:rsidR="00A96D9B" w:rsidRPr="00A96D9B" w:rsidRDefault="00C009DA" w:rsidP="00A96D9B">
            <w:pPr>
              <w:numPr>
                <w:ilvl w:val="0"/>
                <w:numId w:val="15"/>
              </w:numPr>
              <w:suppressAutoHyphens w:val="0"/>
              <w:autoSpaceDN/>
              <w:spacing w:after="0"/>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p w14:paraId="2A7D54E9" w14:textId="13B9F1BC" w:rsidR="00A96D9B" w:rsidRPr="00C009DA" w:rsidRDefault="00A96D9B" w:rsidP="00A96D9B">
            <w:pPr>
              <w:numPr>
                <w:ilvl w:val="0"/>
                <w:numId w:val="15"/>
              </w:numPr>
              <w:suppressAutoHyphens w:val="0"/>
              <w:autoSpaceDN/>
              <w:spacing w:after="0"/>
              <w:ind w:left="714" w:hanging="357"/>
              <w:rPr>
                <w:rFonts w:cs="Arial"/>
                <w:iCs/>
                <w:color w:val="0070C0"/>
                <w:lang w:val="en-US"/>
              </w:rPr>
            </w:pPr>
            <w:r>
              <w:t>support Children’s mental and emotional wellbeing in order for them to have full access to the national curriculum</w:t>
            </w:r>
          </w:p>
        </w:tc>
      </w:tr>
    </w:tbl>
    <w:p w14:paraId="2A7D54EB" w14:textId="5AC44390"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61405C49" w:rsidR="00E66558" w:rsidRPr="00E27862" w:rsidRDefault="00A96D9B" w:rsidP="00E52980">
            <w:pPr>
              <w:suppressAutoHyphens w:val="0"/>
              <w:autoSpaceDN/>
              <w:spacing w:before="60" w:after="120" w:line="240" w:lineRule="auto"/>
              <w:ind w:left="57" w:right="57"/>
              <w:rPr>
                <w:rFonts w:cs="Arial"/>
                <w:iCs/>
                <w:color w:val="auto"/>
                <w:lang w:val="en-US"/>
              </w:rPr>
            </w:pPr>
            <w:r>
              <w:rPr>
                <w:rFonts w:cs="Arial"/>
                <w:iCs/>
                <w:color w:val="auto"/>
                <w:lang w:val="en-US"/>
              </w:rPr>
              <w:t>High % of pupils with moderate learning difficulties/ significant needs and the number of pupils with an EHCP</w:t>
            </w:r>
          </w:p>
        </w:tc>
      </w:tr>
      <w:tr w:rsidR="00CF120E" w14:paraId="611E7AB0"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768739" w14:textId="6955A0C1" w:rsidR="00CF120E" w:rsidRPr="00DD41CD" w:rsidRDefault="00CF120E">
            <w:pPr>
              <w:pStyle w:val="TableRow"/>
              <w:rPr>
                <w:color w:val="auto"/>
                <w:sz w:val="22"/>
                <w:szCs w:val="22"/>
              </w:rPr>
            </w:pPr>
            <w:r>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E5FCF" w14:textId="05C715D2" w:rsidR="00CF120E" w:rsidRDefault="00CF120E" w:rsidP="00E52980">
            <w:pPr>
              <w:suppressAutoHyphens w:val="0"/>
              <w:autoSpaceDN/>
              <w:spacing w:before="60" w:after="120" w:line="240" w:lineRule="auto"/>
              <w:ind w:left="57" w:right="57"/>
              <w:rPr>
                <w:rFonts w:cs="Arial"/>
                <w:iCs/>
                <w:color w:val="auto"/>
                <w:lang w:val="en-US"/>
              </w:rPr>
            </w:pPr>
            <w:r>
              <w:rPr>
                <w:rFonts w:cs="Arial"/>
                <w:iCs/>
                <w:color w:val="auto"/>
                <w:lang w:val="en-US"/>
              </w:rPr>
              <w:t>Narrowing the attainment gap across all subjects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A976C03" w:rsidR="00E66558" w:rsidRPr="003253F8" w:rsidRDefault="00CF120E">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0A6205C1" w:rsidR="00E66558" w:rsidRPr="00E27862" w:rsidRDefault="00A96D9B" w:rsidP="553D8BA6">
            <w:pPr>
              <w:suppressAutoHyphens w:val="0"/>
              <w:autoSpaceDN/>
              <w:spacing w:before="60" w:after="120" w:line="240" w:lineRule="auto"/>
              <w:ind w:left="57" w:right="57"/>
              <w:rPr>
                <w:color w:val="auto"/>
                <w:lang w:val="en-US"/>
              </w:rPr>
            </w:pPr>
            <w:r>
              <w:rPr>
                <w:color w:val="auto"/>
                <w:lang w:val="en-US"/>
              </w:rPr>
              <w:t>The engagement of pupils with the wider curriculum, including attendance</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475A4ABA" w:rsidR="00BB56CA" w:rsidRPr="00DD41CD" w:rsidRDefault="00CF120E">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5CDE9840" w:rsidR="00AB4DFD" w:rsidRPr="00E27862" w:rsidRDefault="00A96D9B" w:rsidP="003B4869">
            <w:pPr>
              <w:suppressAutoHyphens w:val="0"/>
              <w:autoSpaceDN/>
              <w:spacing w:before="60" w:after="120" w:line="240" w:lineRule="auto"/>
              <w:ind w:left="57" w:right="57"/>
              <w:rPr>
                <w:iCs/>
                <w:color w:val="auto"/>
                <w:lang w:val="en-US"/>
              </w:rPr>
            </w:pPr>
            <w:r>
              <w:rPr>
                <w:iCs/>
                <w:color w:val="auto"/>
                <w:lang w:val="en-US"/>
              </w:rPr>
              <w:t>SEMH difficulties</w:t>
            </w:r>
          </w:p>
        </w:tc>
      </w:tr>
      <w:tr w:rsidR="00CF120E" w14:paraId="5A0EB770"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DA511" w14:textId="6B92DDE8" w:rsidR="00CF120E" w:rsidRDefault="00CF120E">
            <w:pPr>
              <w:pStyle w:val="TableRow"/>
              <w:rPr>
                <w:color w:val="auto"/>
                <w:sz w:val="22"/>
                <w:szCs w:val="22"/>
              </w:rPr>
            </w:pPr>
            <w:r>
              <w:rPr>
                <w:color w:val="auto"/>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27210" w14:textId="3B2F5D18" w:rsidR="00CF120E" w:rsidRDefault="00CF120E" w:rsidP="003B4869">
            <w:pPr>
              <w:suppressAutoHyphens w:val="0"/>
              <w:autoSpaceDN/>
              <w:spacing w:before="60" w:after="120" w:line="240" w:lineRule="auto"/>
              <w:ind w:left="57" w:right="57"/>
              <w:rPr>
                <w:iCs/>
                <w:color w:val="auto"/>
                <w:lang w:val="en-US"/>
              </w:rPr>
            </w:pPr>
            <w:r>
              <w:rPr>
                <w:iCs/>
                <w:color w:val="auto"/>
                <w:lang w:val="en-US"/>
              </w:rPr>
              <w:t>Language and communication</w:t>
            </w:r>
          </w:p>
        </w:tc>
      </w:tr>
    </w:tbl>
    <w:p w14:paraId="2A7D54FF" w14:textId="5B257CEA"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8847435" w:rsidR="00451A23" w:rsidRPr="00E27862" w:rsidRDefault="00617190" w:rsidP="00627225">
            <w:pPr>
              <w:pStyle w:val="TableRow"/>
              <w:spacing w:after="120"/>
              <w:rPr>
                <w:rFonts w:cs="Arial"/>
                <w:color w:val="auto"/>
              </w:rPr>
            </w:pPr>
            <w:r>
              <w:rPr>
                <w:rFonts w:cs="Arial"/>
                <w:color w:val="auto"/>
              </w:rPr>
              <w:t>Evidenced progress for those children with SEN (including those with an EHCP)</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E1B1D" w14:textId="77777777" w:rsidR="0068291A" w:rsidRDefault="00617190" w:rsidP="003E2ED5">
            <w:pPr>
              <w:suppressAutoHyphens w:val="0"/>
              <w:autoSpaceDN/>
              <w:spacing w:before="60" w:after="120" w:line="240" w:lineRule="auto"/>
              <w:ind w:left="57" w:right="57"/>
              <w:rPr>
                <w:rFonts w:cs="Arial"/>
                <w:color w:val="auto"/>
              </w:rPr>
            </w:pPr>
            <w:r>
              <w:rPr>
                <w:rFonts w:cs="Arial"/>
                <w:color w:val="auto"/>
              </w:rPr>
              <w:t>SEN pupils to achieve at least in line with national averages</w:t>
            </w:r>
            <w:r w:rsidR="0068291A">
              <w:rPr>
                <w:rFonts w:cs="Arial"/>
                <w:color w:val="auto"/>
              </w:rPr>
              <w:t xml:space="preserve">. </w:t>
            </w:r>
          </w:p>
          <w:p w14:paraId="2A7D5505" w14:textId="0760B5BE" w:rsidR="00C863B9" w:rsidRPr="00E27862" w:rsidRDefault="0068291A" w:rsidP="009F2363">
            <w:pPr>
              <w:suppressAutoHyphens w:val="0"/>
              <w:autoSpaceDN/>
              <w:spacing w:before="60" w:after="120" w:line="240" w:lineRule="auto"/>
              <w:ind w:left="57" w:right="57"/>
              <w:rPr>
                <w:rFonts w:cs="Arial"/>
                <w:color w:val="auto"/>
              </w:rPr>
            </w:pPr>
            <w:r w:rsidRPr="0068291A">
              <w:rPr>
                <w:rFonts w:cs="Arial"/>
              </w:rPr>
              <w:t>Progress can be seen in small steps – specific targets</w:t>
            </w:r>
            <w:r w:rsidR="009F2363">
              <w:rPr>
                <w:rFonts w:cs="Arial"/>
              </w:rPr>
              <w:t xml:space="preserve"> informed by pre key stage assessments</w:t>
            </w:r>
            <w:r w:rsidRPr="0068291A">
              <w:rPr>
                <w:rFonts w:cs="Arial"/>
              </w:rPr>
              <w:t xml:space="preserve"> allowing individualised progress</w:t>
            </w:r>
            <w:r w:rsidR="009F2363">
              <w:rPr>
                <w:rFonts w:cs="Arial"/>
              </w:rPr>
              <w:t xml:space="preserve"> with case studies to evidence this</w:t>
            </w:r>
          </w:p>
        </w:tc>
      </w:tr>
      <w:tr w:rsidR="00CF120E" w14:paraId="00D07BE2"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DC973" w14:textId="30EBABA4" w:rsidR="00CF120E" w:rsidRPr="00E27862" w:rsidRDefault="00CF120E" w:rsidP="009F2363">
            <w:pPr>
              <w:pStyle w:val="TableRow"/>
              <w:spacing w:after="120"/>
              <w:ind w:left="0"/>
              <w:rPr>
                <w:rFonts w:cs="Arial"/>
                <w:color w:val="auto"/>
              </w:rPr>
            </w:pPr>
            <w:r>
              <w:rPr>
                <w:rFonts w:cs="Arial"/>
                <w:color w:val="auto"/>
              </w:rPr>
              <w:t>Improved attainment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601D0" w14:textId="59B420F5" w:rsidR="00CF120E" w:rsidRPr="00E27862" w:rsidRDefault="00CF120E" w:rsidP="003E2ED5">
            <w:pPr>
              <w:suppressAutoHyphens w:val="0"/>
              <w:autoSpaceDN/>
              <w:spacing w:before="60" w:after="120" w:line="240" w:lineRule="auto"/>
              <w:ind w:left="57" w:right="57"/>
              <w:rPr>
                <w:rFonts w:cs="Arial"/>
                <w:color w:val="auto"/>
              </w:rPr>
            </w:pPr>
            <w:r>
              <w:rPr>
                <w:rFonts w:cs="Arial"/>
                <w:color w:val="auto"/>
              </w:rPr>
              <w:t>Disadvantaged pupils to achieve above national averages</w:t>
            </w:r>
          </w:p>
        </w:tc>
      </w:tr>
      <w:tr w:rsidR="00617190"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D90E4D3" w:rsidR="00617190" w:rsidRPr="00E27862" w:rsidRDefault="00617190" w:rsidP="00617190">
            <w:pPr>
              <w:pStyle w:val="TableRow"/>
              <w:spacing w:after="120"/>
              <w:ind w:left="29"/>
              <w:rPr>
                <w:rFonts w:cs="Arial"/>
                <w:color w:val="auto"/>
              </w:rPr>
            </w:pPr>
            <w:r w:rsidRPr="009B4B53">
              <w:t xml:space="preserve">Improve </w:t>
            </w:r>
            <w:r w:rsidR="00192D9B">
              <w:t>a</w:t>
            </w:r>
            <w:r w:rsidRPr="009B4B53">
              <w:t xml:space="preserve">ttendance of all groups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0A20DB0" w:rsidR="00617190" w:rsidRPr="00E27862" w:rsidRDefault="00617190" w:rsidP="00617190">
            <w:pPr>
              <w:pStyle w:val="TableRowCentered"/>
              <w:spacing w:after="120"/>
              <w:jc w:val="left"/>
              <w:rPr>
                <w:rFonts w:cs="Arial"/>
                <w:color w:val="auto"/>
                <w:lang w:eastAsia="en-US"/>
              </w:rPr>
            </w:pPr>
            <w:r w:rsidRPr="009B4B53">
              <w:t>To ensure that attendance of all groups is above 96%</w:t>
            </w:r>
          </w:p>
        </w:tc>
      </w:tr>
      <w:tr w:rsidR="00A473BE"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7AE7503A" w:rsidR="00A473BE" w:rsidRPr="00E27862" w:rsidRDefault="00A473BE" w:rsidP="00A473BE">
            <w:pPr>
              <w:pStyle w:val="TableRow"/>
              <w:spacing w:after="120"/>
              <w:ind w:left="28"/>
              <w:rPr>
                <w:rFonts w:cs="Arial"/>
                <w:color w:val="auto"/>
              </w:rPr>
            </w:pPr>
            <w:r w:rsidRPr="00887F4A">
              <w:t xml:space="preserve">Improved social and emotional wellbeing of all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33636D9E" w:rsidR="00A473BE" w:rsidRPr="00E27862" w:rsidRDefault="00A473BE" w:rsidP="00D53216">
            <w:pPr>
              <w:pStyle w:val="TableRowCentered"/>
              <w:ind w:left="0"/>
              <w:jc w:val="left"/>
              <w:rPr>
                <w:rFonts w:cs="Arial"/>
                <w:color w:val="auto"/>
                <w:szCs w:val="24"/>
                <w:lang w:eastAsia="en-US"/>
              </w:rPr>
            </w:pPr>
            <w:r>
              <w:t>Effective</w:t>
            </w:r>
            <w:r w:rsidRPr="00887F4A">
              <w:t xml:space="preserve"> early help support</w:t>
            </w:r>
            <w:r>
              <w:t xml:space="preserve"> through ELSA</w:t>
            </w:r>
            <w:r w:rsidR="009B7601">
              <w:t xml:space="preserve">, 1:1 mentor sessions, breakfast club provision </w:t>
            </w:r>
            <w:r w:rsidR="00CF120E">
              <w:t>and Sensory Circuits</w:t>
            </w:r>
          </w:p>
        </w:tc>
      </w:tr>
      <w:tr w:rsidR="00CF120E" w14:paraId="5CE214B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3CBF5" w14:textId="63B43E28" w:rsidR="00CF120E" w:rsidRPr="00887F4A" w:rsidRDefault="00CF120E" w:rsidP="00A473BE">
            <w:pPr>
              <w:pStyle w:val="TableRow"/>
              <w:spacing w:after="120"/>
              <w:ind w:left="28"/>
            </w:pPr>
            <w:r>
              <w:t xml:space="preserve">Improve early language and </w:t>
            </w:r>
            <w:proofErr w:type="spellStart"/>
            <w:r>
              <w:t>oracy</w:t>
            </w:r>
            <w:proofErr w:type="spellEnd"/>
            <w:r>
              <w:t xml:space="preserve"> skills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C0E81" w14:textId="77777777" w:rsidR="00CF120E" w:rsidRDefault="00CF120E" w:rsidP="00A473BE">
            <w:pPr>
              <w:pStyle w:val="TableRowCentered"/>
              <w:ind w:left="0"/>
              <w:jc w:val="left"/>
            </w:pPr>
            <w:r>
              <w:t>Language screen shows an improvement in early language acquisitions</w:t>
            </w:r>
          </w:p>
          <w:p w14:paraId="7984208F" w14:textId="0CCF3394" w:rsidR="00CF120E" w:rsidRDefault="00CF120E" w:rsidP="00A473BE">
            <w:pPr>
              <w:pStyle w:val="TableRowCentered"/>
              <w:ind w:left="0"/>
              <w:jc w:val="left"/>
            </w:pPr>
            <w:r>
              <w:t xml:space="preserve">Those with SALT are supported by well trained adults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8D04C12" w:rsidR="00E66558" w:rsidRPr="004600D4" w:rsidRDefault="009D71E8" w:rsidP="00877501">
      <w:pPr>
        <w:rPr>
          <w:b/>
          <w:color w:val="0070C0"/>
        </w:rPr>
      </w:pPr>
      <w:r>
        <w:t xml:space="preserve">Budgeted </w:t>
      </w:r>
      <w:proofErr w:type="gramStart"/>
      <w:r>
        <w:t>cost</w:t>
      </w:r>
      <w:r w:rsidR="004600D4">
        <w:t xml:space="preserve">  </w:t>
      </w:r>
      <w:r w:rsidR="004600D4">
        <w:rPr>
          <w:b/>
        </w:rPr>
        <w:t>£</w:t>
      </w:r>
      <w:proofErr w:type="gramEnd"/>
      <w:r w:rsidR="004A76E8">
        <w:rPr>
          <w:b/>
        </w:rPr>
        <w:t xml:space="preserve">12716 </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45FDC416"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w:t>
            </w:r>
            <w:r w:rsidR="000F4EB1" w:rsidRPr="00E27862">
              <w:rPr>
                <w:iCs/>
                <w:color w:val="auto"/>
                <w:lang w:val="en-US"/>
              </w:rPr>
              <w:t>tandardised</w:t>
            </w:r>
            <w:proofErr w:type="spellEnd"/>
            <w:r w:rsidR="000F4EB1" w:rsidRPr="00E27862">
              <w:rPr>
                <w:iCs/>
                <w:color w:val="auto"/>
                <w:lang w:val="en-US"/>
              </w:rPr>
              <w:t xml:space="preserve"> diagnostic assessments</w:t>
            </w:r>
            <w:r w:rsidR="000C3FC9" w:rsidRPr="00E27862">
              <w:rPr>
                <w:iCs/>
                <w:color w:val="auto"/>
                <w:lang w:val="en-US"/>
              </w:rPr>
              <w:t>.</w:t>
            </w:r>
            <w:r w:rsidR="004600D4">
              <w:rPr>
                <w:iCs/>
                <w:color w:val="auto"/>
                <w:lang w:val="en-US"/>
              </w:rPr>
              <w:t xml:space="preserve">- </w:t>
            </w:r>
            <w:proofErr w:type="spellStart"/>
            <w:r w:rsidR="004600D4">
              <w:rPr>
                <w:iCs/>
                <w:color w:val="auto"/>
                <w:lang w:val="en-US"/>
              </w:rPr>
              <w:t>Sandwell</w:t>
            </w:r>
            <w:proofErr w:type="spellEnd"/>
            <w:r w:rsidR="004600D4">
              <w:rPr>
                <w:iCs/>
                <w:color w:val="auto"/>
                <w:lang w:val="en-US"/>
              </w:rPr>
              <w:t xml:space="preserve"> and NFER</w:t>
            </w:r>
          </w:p>
          <w:p w14:paraId="2A7D551A" w14:textId="7E0EA3BF" w:rsidR="004414EB" w:rsidRPr="00E27862" w:rsidRDefault="004414EB" w:rsidP="00A6450E">
            <w:pPr>
              <w:pStyle w:val="TableRow"/>
              <w:spacing w:after="240"/>
              <w:ind w:left="29"/>
              <w:rPr>
                <w:rFonts w:cs="Arial"/>
                <w:color w:val="auto"/>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12ACC8E1" w:rsidR="00E66558" w:rsidRPr="00E27862" w:rsidRDefault="00E66558" w:rsidP="00E5016D">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55CBF69" w:rsidR="00E66558" w:rsidRPr="00E27862" w:rsidRDefault="00617190">
            <w:pPr>
              <w:pStyle w:val="TableRowCentered"/>
              <w:jc w:val="left"/>
              <w:rPr>
                <w:color w:val="auto"/>
                <w:szCs w:val="24"/>
              </w:rPr>
            </w:pPr>
            <w:r>
              <w:rPr>
                <w:color w:val="auto"/>
                <w:szCs w:val="24"/>
              </w:rPr>
              <w:t>2</w:t>
            </w:r>
          </w:p>
        </w:tc>
      </w:tr>
      <w:tr w:rsidR="004600D4" w14:paraId="05348F6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56398" w14:textId="3A1F131F" w:rsidR="004600D4" w:rsidRPr="00E27862" w:rsidRDefault="004600D4" w:rsidP="00A6450E">
            <w:pPr>
              <w:pStyle w:val="TableRow"/>
              <w:spacing w:after="240"/>
              <w:ind w:left="29"/>
              <w:rPr>
                <w:iCs/>
                <w:color w:val="auto"/>
                <w:lang w:val="en-US"/>
              </w:rPr>
            </w:pPr>
            <w:r>
              <w:rPr>
                <w:iCs/>
                <w:color w:val="auto"/>
                <w:lang w:val="en-US"/>
              </w:rPr>
              <w:t xml:space="preserve">Additional </w:t>
            </w:r>
            <w:proofErr w:type="spellStart"/>
            <w:r>
              <w:rPr>
                <w:iCs/>
                <w:color w:val="auto"/>
                <w:lang w:val="en-US"/>
              </w:rPr>
              <w:t>SENDCo</w:t>
            </w:r>
            <w:proofErr w:type="spellEnd"/>
            <w:r>
              <w:rPr>
                <w:iCs/>
                <w:color w:val="auto"/>
                <w:lang w:val="en-US"/>
              </w:rPr>
              <w:t xml:space="preserve"> </w:t>
            </w:r>
            <w:r w:rsidR="00412754">
              <w:rPr>
                <w:iCs/>
                <w:color w:val="auto"/>
                <w:lang w:val="en-US"/>
              </w:rPr>
              <w:t xml:space="preserve">and STAPS </w:t>
            </w:r>
            <w:r>
              <w:rPr>
                <w:iCs/>
                <w:color w:val="auto"/>
                <w:lang w:val="en-US"/>
              </w:rPr>
              <w:t xml:space="preserve">hours to meet </w:t>
            </w:r>
            <w:r w:rsidR="00CF120E">
              <w:rPr>
                <w:iCs/>
                <w:color w:val="auto"/>
                <w:lang w:val="en-US"/>
              </w:rPr>
              <w:t xml:space="preserve">high </w:t>
            </w:r>
            <w:r>
              <w:rPr>
                <w:iCs/>
                <w:color w:val="auto"/>
                <w:lang w:val="en-US"/>
              </w:rPr>
              <w:t xml:space="preserve">need and </w:t>
            </w:r>
            <w:r w:rsidR="00CF120E">
              <w:rPr>
                <w:iCs/>
                <w:color w:val="auto"/>
                <w:lang w:val="en-US"/>
              </w:rPr>
              <w:t>liaise with external agencies to ensure targeted support is given specific to need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A7A17" w14:textId="1B6B7692" w:rsidR="004600D4" w:rsidRPr="00E27862" w:rsidRDefault="00617190" w:rsidP="00A92F8B">
            <w:pPr>
              <w:pStyle w:val="TableRowCentered"/>
              <w:jc w:val="left"/>
              <w:rPr>
                <w:color w:val="auto"/>
                <w:szCs w:val="24"/>
              </w:rPr>
            </w:pPr>
            <w:r>
              <w:rPr>
                <w:color w:val="auto"/>
                <w:szCs w:val="24"/>
              </w:rPr>
              <w:t xml:space="preserve">Seeking external support for </w:t>
            </w:r>
            <w:r w:rsidRPr="00E27862">
              <w:rPr>
                <w:color w:val="auto"/>
                <w:szCs w:val="24"/>
              </w:rPr>
              <w:t>specific strengths and weaknesses of each pupil to help ensure they receive the correct additional support through interventions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A7CDB" w14:textId="12280BA5" w:rsidR="004600D4" w:rsidRPr="00E27862" w:rsidRDefault="00617190">
            <w:pPr>
              <w:pStyle w:val="TableRowCentered"/>
              <w:jc w:val="left"/>
              <w:rPr>
                <w:color w:val="auto"/>
                <w:szCs w:val="24"/>
              </w:rPr>
            </w:pPr>
            <w:r>
              <w:rPr>
                <w:color w:val="auto"/>
                <w:szCs w:val="24"/>
              </w:rPr>
              <w:t>1</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756F8" w14:textId="77777777" w:rsidR="0015621F" w:rsidRDefault="009533EF" w:rsidP="00A6450E">
            <w:pPr>
              <w:suppressAutoHyphens w:val="0"/>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a </w:t>
            </w:r>
            <w:hyperlink r:id="rId10"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p w14:paraId="3C245BD9" w14:textId="7D52AA09" w:rsidR="004600D4" w:rsidRPr="00E27862" w:rsidRDefault="004600D4" w:rsidP="00A6450E">
            <w:pPr>
              <w:suppressAutoHyphens w:val="0"/>
              <w:autoSpaceDN/>
              <w:spacing w:before="60" w:after="120" w:line="240" w:lineRule="auto"/>
              <w:ind w:left="29" w:right="57"/>
              <w:rPr>
                <w:rFonts w:cs="Arial"/>
                <w:iCs/>
                <w:color w:val="auto"/>
              </w:rPr>
            </w:pPr>
            <w:r>
              <w:t>EYFS leader release time to ensure QFT with phonics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5270AFE2" w:rsidR="001F198D" w:rsidRPr="00E27862" w:rsidRDefault="004600D4" w:rsidP="003F1E06">
            <w:pPr>
              <w:pStyle w:val="TableRowCentered"/>
              <w:spacing w:after="120"/>
              <w:jc w:val="left"/>
              <w:rPr>
                <w:rFonts w:cs="Arial"/>
                <w:color w:val="auto"/>
                <w:szCs w:val="24"/>
              </w:rPr>
            </w:pPr>
            <w:r>
              <w:t>EF Toolkit Phonic teaching +5</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6A1AA6C" w:rsidR="0015621F" w:rsidRPr="00E27862" w:rsidRDefault="00617190" w:rsidP="0015621F">
            <w:pPr>
              <w:pStyle w:val="TableRowCentered"/>
              <w:jc w:val="left"/>
              <w:rPr>
                <w:color w:val="auto"/>
                <w:szCs w:val="24"/>
              </w:rPr>
            </w:pPr>
            <w:r>
              <w:rPr>
                <w:color w:val="auto"/>
                <w:szCs w:val="24"/>
              </w:rPr>
              <w:t>5</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F3FDD" w14:textId="281A8040" w:rsidR="00777F13" w:rsidRPr="00E27862" w:rsidRDefault="009B4127" w:rsidP="005B4A5A">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8F5887A" w14:textId="29E6A8D5" w:rsidR="00FC0184" w:rsidRPr="00D01A6D" w:rsidRDefault="004A76E8" w:rsidP="001662B7">
            <w:pPr>
              <w:suppressAutoHyphens w:val="0"/>
              <w:autoSpaceDN/>
              <w:spacing w:before="60" w:after="120" w:line="240" w:lineRule="auto"/>
              <w:ind w:left="57" w:right="57"/>
              <w:rPr>
                <w:rFonts w:cs="Arial"/>
                <w:iCs/>
                <w:color w:val="0070C0"/>
              </w:rPr>
            </w:pPr>
            <w:hyperlink r:id="rId11" w:history="1">
              <w:r w:rsidR="003E3A10" w:rsidRPr="00D01A6D">
                <w:rPr>
                  <w:color w:val="0070C0"/>
                  <w:u w:val="single"/>
                </w:rPr>
                <w:t>Maths_guidance_KS_1_and_2.pdf (publishing.service.gov.uk)</w:t>
              </w:r>
            </w:hyperlink>
          </w:p>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0892004B" w14:textId="3C345453" w:rsidR="006B5875" w:rsidRPr="00E27862" w:rsidRDefault="004A76E8" w:rsidP="00FB5EA9">
            <w:pPr>
              <w:suppressAutoHyphens w:val="0"/>
              <w:autoSpaceDN/>
              <w:spacing w:before="60" w:after="120" w:line="240" w:lineRule="auto"/>
              <w:ind w:left="57" w:right="57"/>
              <w:rPr>
                <w:rFonts w:cs="Arial"/>
                <w:color w:val="auto"/>
                <w:u w:val="single"/>
              </w:rPr>
            </w:pPr>
            <w:hyperlink r:id="rId12" w:history="1">
              <w:r w:rsidR="006B587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0C8A1583" w:rsidR="00D35EBE" w:rsidRPr="00E27862" w:rsidRDefault="00617190" w:rsidP="0015621F">
            <w:pPr>
              <w:pStyle w:val="TableRowCentered"/>
              <w:jc w:val="left"/>
              <w:rPr>
                <w:color w:val="auto"/>
                <w:szCs w:val="24"/>
              </w:rPr>
            </w:pPr>
            <w:r>
              <w:rPr>
                <w:color w:val="auto"/>
                <w:szCs w:val="24"/>
              </w:rPr>
              <w:t>2</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B488" w14:textId="2A0A1044" w:rsidR="00E64605" w:rsidRPr="00E27862" w:rsidRDefault="004600D4" w:rsidP="009B7A21">
            <w:pPr>
              <w:suppressAutoHyphens w:val="0"/>
              <w:autoSpaceDN/>
              <w:spacing w:line="240" w:lineRule="auto"/>
              <w:rPr>
                <w:rFonts w:cs="Arial"/>
                <w:iCs/>
                <w:color w:val="auto"/>
                <w:lang w:val="en-US" w:eastAsia="en-US"/>
              </w:rPr>
            </w:pPr>
            <w:r>
              <w:rPr>
                <w:rFonts w:cs="Arial"/>
                <w:iCs/>
                <w:color w:val="auto"/>
                <w:lang w:val="en-US" w:eastAsia="en-US"/>
              </w:rPr>
              <w:t>Staff training for ELSA</w:t>
            </w:r>
            <w:r w:rsidR="00D53216">
              <w:rPr>
                <w:rFonts w:cs="Arial"/>
                <w:iCs/>
                <w:color w:val="auto"/>
                <w:lang w:val="en-US" w:eastAsia="en-US"/>
              </w:rPr>
              <w:t xml:space="preserve"> leading to 1 day allocated support Sept 2022</w:t>
            </w:r>
            <w:r w:rsidR="009B7A21" w:rsidRPr="00E27862">
              <w:rPr>
                <w:rFonts w:cs="Arial"/>
                <w:iCs/>
                <w:color w:val="auto"/>
                <w:lang w:val="en-US" w:eastAsia="en-US"/>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4A76E8" w:rsidP="0044560E">
            <w:pPr>
              <w:pStyle w:val="TableRowCentered"/>
              <w:spacing w:after="120"/>
              <w:jc w:val="left"/>
              <w:rPr>
                <w:color w:val="auto"/>
                <w:szCs w:val="24"/>
              </w:rPr>
            </w:pPr>
            <w:hyperlink r:id="rId13" w:history="1">
              <w:r w:rsidR="0016406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282B724B" w:rsidR="0015621F" w:rsidRPr="00E27862" w:rsidRDefault="00617190" w:rsidP="0015621F">
            <w:pPr>
              <w:pStyle w:val="TableRowCentered"/>
              <w:jc w:val="left"/>
              <w:rPr>
                <w:color w:val="auto"/>
                <w:szCs w:val="24"/>
                <w:highlight w:val="yellow"/>
              </w:rPr>
            </w:pPr>
            <w:r>
              <w:rPr>
                <w:color w:val="auto"/>
                <w:szCs w:val="24"/>
              </w:rPr>
              <w:t>3  and 4</w:t>
            </w:r>
          </w:p>
        </w:tc>
      </w:tr>
      <w:tr w:rsidR="004600D4" w14:paraId="6065233F"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B127C" w14:textId="744E6B60" w:rsidR="004600D4" w:rsidRDefault="004600D4" w:rsidP="009B7A21">
            <w:pPr>
              <w:suppressAutoHyphens w:val="0"/>
              <w:autoSpaceDN/>
              <w:spacing w:line="240" w:lineRule="auto"/>
              <w:rPr>
                <w:rFonts w:cs="Arial"/>
                <w:iCs/>
                <w:color w:val="auto"/>
                <w:lang w:val="en-US" w:eastAsia="en-US"/>
              </w:rPr>
            </w:pPr>
            <w:r>
              <w:rPr>
                <w:rFonts w:cs="Arial"/>
                <w:iCs/>
                <w:color w:val="auto"/>
                <w:lang w:val="en-US" w:eastAsia="en-US"/>
              </w:rPr>
              <w:t>Staff training ELKLAN</w:t>
            </w:r>
            <w:r w:rsidR="00412754">
              <w:rPr>
                <w:rFonts w:cs="Arial"/>
                <w:iCs/>
                <w:color w:val="auto"/>
                <w:lang w:val="en-US" w:eastAsia="en-US"/>
              </w:rPr>
              <w:t>, Nessie</w:t>
            </w:r>
            <w:r>
              <w:rPr>
                <w:rFonts w:cs="Arial"/>
                <w:iCs/>
                <w:color w:val="auto"/>
                <w:lang w:val="en-US" w:eastAsia="en-US"/>
              </w:rPr>
              <w:t xml:space="preserve"> and NELI to address </w:t>
            </w:r>
            <w:r>
              <w:rPr>
                <w:rFonts w:cs="Arial"/>
                <w:iCs/>
                <w:color w:val="auto"/>
                <w:lang w:val="en-US" w:eastAsia="en-US"/>
              </w:rPr>
              <w:lastRenderedPageBreak/>
              <w:t>speech and language issues in EYFS and KS1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0EA7F" w14:textId="30E7CBB2" w:rsidR="004600D4" w:rsidRPr="00E27862" w:rsidRDefault="004600D4" w:rsidP="00704439">
            <w:pPr>
              <w:pStyle w:val="TableRowCentered"/>
              <w:jc w:val="left"/>
              <w:rPr>
                <w:rFonts w:cs="Arial"/>
                <w:color w:val="auto"/>
                <w:szCs w:val="24"/>
              </w:rPr>
            </w:pPr>
            <w:r>
              <w:lastRenderedPageBreak/>
              <w:t>EEF toolkit language intervention +6 NELI – evidence-based intervention</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106F7" w14:textId="5D01D45F" w:rsidR="004600D4" w:rsidRPr="00E27862" w:rsidRDefault="00617190" w:rsidP="0015621F">
            <w:pPr>
              <w:pStyle w:val="TableRowCentered"/>
              <w:jc w:val="left"/>
              <w:rPr>
                <w:color w:val="auto"/>
                <w:szCs w:val="24"/>
              </w:rPr>
            </w:pPr>
            <w:r>
              <w:rPr>
                <w:color w:val="auto"/>
                <w:szCs w:val="24"/>
              </w:rPr>
              <w:t>5</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D1BE85C" w:rsidR="00E66558" w:rsidRDefault="009D71E8" w:rsidP="00877501">
      <w:r>
        <w:t xml:space="preserve">Budgeted cost: </w:t>
      </w:r>
      <w:r w:rsidRPr="00E27862">
        <w:rPr>
          <w:b/>
          <w:bCs/>
          <w:color w:val="auto"/>
        </w:rPr>
        <w:t>£</w:t>
      </w:r>
      <w:r w:rsidR="00FE60C8">
        <w:rPr>
          <w:b/>
          <w:bCs/>
          <w:color w:val="auto"/>
        </w:rPr>
        <w:t>8</w:t>
      </w:r>
      <w:r w:rsidR="009B7601">
        <w:rPr>
          <w:b/>
          <w:bCs/>
          <w:color w:val="auto"/>
        </w:rPr>
        <w:t>270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473BE"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03A6CF8" w:rsidR="00A473BE" w:rsidRPr="00E27862" w:rsidRDefault="00A473BE" w:rsidP="00A473BE">
            <w:pPr>
              <w:pStyle w:val="TableRow"/>
              <w:spacing w:after="120"/>
              <w:rPr>
                <w:rFonts w:cs="Arial"/>
                <w:iCs/>
                <w:color w:val="auto"/>
                <w:lang w:val="en-US"/>
              </w:rPr>
            </w:pPr>
            <w:r w:rsidRPr="0012030C">
              <w:t xml:space="preserve">Interventions 1:2:1 and small group NELI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9FB5" w14:textId="77777777" w:rsidR="004600D4" w:rsidRDefault="00A473BE" w:rsidP="004600D4">
            <w:pPr>
              <w:pStyle w:val="TableRowCentered"/>
              <w:spacing w:after="0"/>
              <w:jc w:val="left"/>
            </w:pPr>
            <w:r w:rsidRPr="0012030C">
              <w:t xml:space="preserve">EEF toolkit language intervention +6 </w:t>
            </w:r>
          </w:p>
          <w:p w14:paraId="2A7D552A" w14:textId="0193AAC3" w:rsidR="00A473BE" w:rsidRPr="00E27862" w:rsidRDefault="00A473BE" w:rsidP="004600D4">
            <w:pPr>
              <w:pStyle w:val="TableRowCentered"/>
              <w:spacing w:after="0"/>
              <w:jc w:val="left"/>
              <w:rPr>
                <w:color w:val="auto"/>
                <w:szCs w:val="24"/>
              </w:rPr>
            </w:pPr>
            <w:r w:rsidRPr="0012030C">
              <w:t>NELI – evidence-based interventio</w:t>
            </w:r>
            <w:r>
              <w:t>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1E3162" w:rsidR="00A473BE" w:rsidRPr="00295351" w:rsidRDefault="00617190" w:rsidP="00A473BE">
            <w:pPr>
              <w:pStyle w:val="TableRowCentered"/>
              <w:jc w:val="left"/>
              <w:rPr>
                <w:color w:val="auto"/>
                <w:szCs w:val="22"/>
              </w:rPr>
            </w:pPr>
            <w:r>
              <w:rPr>
                <w:color w:val="auto"/>
                <w:szCs w:val="22"/>
              </w:rPr>
              <w:t>5</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5F8D6" w14:textId="77777777" w:rsidR="00B8060C" w:rsidRDefault="004600D4" w:rsidP="00B8060C">
            <w:pPr>
              <w:pStyle w:val="TableRow"/>
              <w:rPr>
                <w:rFonts w:cs="Arial"/>
                <w:iCs/>
                <w:color w:val="auto"/>
                <w:lang w:val="en-US"/>
              </w:rPr>
            </w:pPr>
            <w:r>
              <w:rPr>
                <w:rFonts w:cs="Arial"/>
                <w:iCs/>
                <w:color w:val="auto"/>
                <w:lang w:val="en-US"/>
              </w:rPr>
              <w:t>Training, resources and introduction of Interventions- First Class @ number</w:t>
            </w:r>
          </w:p>
          <w:p w14:paraId="4D7A16D0" w14:textId="57EFABBF" w:rsidR="004600D4" w:rsidRPr="00E27862" w:rsidRDefault="004600D4" w:rsidP="00B8060C">
            <w:pPr>
              <w:pStyle w:val="TableRow"/>
              <w:rPr>
                <w:rFonts w:cs="Arial"/>
                <w:iCs/>
                <w:color w:val="auto"/>
                <w:lang w:val="en-US"/>
              </w:rPr>
            </w:pPr>
            <w:r>
              <w:rPr>
                <w:rFonts w:cs="Arial"/>
                <w:iCs/>
                <w:color w:val="auto"/>
                <w:lang w:val="en-US"/>
              </w:rPr>
              <w:t>1:1 Numbers count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652F1" w14:textId="77777777" w:rsidR="004600D4" w:rsidRDefault="004600D4" w:rsidP="004600D4">
            <w:pPr>
              <w:pStyle w:val="TableRowCentered"/>
              <w:spacing w:after="0"/>
              <w:jc w:val="left"/>
            </w:pPr>
            <w:r>
              <w:t xml:space="preserve">EEF toolkit small group tuition +4 </w:t>
            </w:r>
          </w:p>
          <w:p w14:paraId="5FCA18E8" w14:textId="69D25651" w:rsidR="0026462D" w:rsidRPr="00E27862" w:rsidRDefault="004600D4" w:rsidP="004600D4">
            <w:pPr>
              <w:pStyle w:val="TableRowCentered"/>
              <w:spacing w:after="0"/>
              <w:jc w:val="left"/>
              <w:rPr>
                <w:color w:val="auto"/>
              </w:rPr>
            </w:pPr>
            <w:r>
              <w:t>Maths counts EEF evidence based interventions +2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7A2E4D36" w:rsidR="00B8060C" w:rsidRPr="00295351" w:rsidRDefault="00617190" w:rsidP="00B8060C">
            <w:pPr>
              <w:pStyle w:val="TableRowCentered"/>
              <w:jc w:val="left"/>
              <w:rPr>
                <w:color w:val="auto"/>
                <w:szCs w:val="22"/>
              </w:rPr>
            </w:pPr>
            <w:r>
              <w:rPr>
                <w:color w:val="auto"/>
                <w:szCs w:val="22"/>
              </w:rPr>
              <w:t>2</w:t>
            </w:r>
          </w:p>
        </w:tc>
      </w:tr>
      <w:tr w:rsidR="004600D4"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069D2480" w:rsidR="004600D4" w:rsidRPr="00E27862" w:rsidRDefault="004600D4" w:rsidP="004600D4">
            <w:pPr>
              <w:pStyle w:val="TableRow"/>
              <w:spacing w:after="120"/>
              <w:rPr>
                <w:rFonts w:cs="Arial"/>
                <w:iCs/>
                <w:color w:val="auto"/>
                <w:lang w:val="en-US"/>
              </w:rPr>
            </w:pPr>
            <w:r w:rsidRPr="00FD472F">
              <w:t>After school booster</w:t>
            </w:r>
            <w:r>
              <w:t xml:space="preserve"> and breakfast booster</w:t>
            </w:r>
            <w:r w:rsidRPr="00FD472F">
              <w:t xml:space="preserve"> provided by teacher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7CCF" w14:textId="77777777" w:rsidR="004600D4" w:rsidRDefault="004600D4" w:rsidP="004600D4">
            <w:pPr>
              <w:suppressAutoHyphens w:val="0"/>
              <w:autoSpaceDN/>
              <w:spacing w:before="60" w:after="0" w:line="240" w:lineRule="auto"/>
              <w:ind w:left="57" w:right="57"/>
            </w:pPr>
            <w:r w:rsidRPr="00FD472F">
              <w:t xml:space="preserve">EEF toolkit - After school intervention +3 EEF toolkit one to one tuition +5 </w:t>
            </w:r>
          </w:p>
          <w:p w14:paraId="7E164B51" w14:textId="027118D3" w:rsidR="004600D4" w:rsidRPr="00E27862" w:rsidRDefault="004600D4" w:rsidP="004600D4">
            <w:pPr>
              <w:suppressAutoHyphens w:val="0"/>
              <w:autoSpaceDN/>
              <w:spacing w:before="60" w:after="0" w:line="240" w:lineRule="auto"/>
              <w:ind w:left="57" w:right="57"/>
              <w:rPr>
                <w:color w:val="auto"/>
                <w:u w:val="single"/>
              </w:rPr>
            </w:pPr>
            <w:r w:rsidRPr="00FD472F">
              <w:t>EEF toolkit small group tuition +</w:t>
            </w:r>
            <w:r>
              <w:t>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32561E21" w:rsidR="004600D4" w:rsidRPr="00295351" w:rsidRDefault="00617190" w:rsidP="004600D4">
            <w:pPr>
              <w:pStyle w:val="TableRowCentered"/>
              <w:jc w:val="left"/>
              <w:rPr>
                <w:color w:val="auto"/>
                <w:szCs w:val="22"/>
              </w:rPr>
            </w:pPr>
            <w:r>
              <w:rPr>
                <w:color w:val="auto"/>
                <w:szCs w:val="22"/>
              </w:rPr>
              <w:t>1 and 2</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39E82727" w:rsidR="00E66558" w:rsidRDefault="009D71E8" w:rsidP="00877501">
      <w:pPr>
        <w:spacing w:before="240"/>
      </w:pPr>
      <w:r>
        <w:t xml:space="preserve">Budgeted cost: </w:t>
      </w:r>
      <w:r w:rsidRPr="00E27862">
        <w:rPr>
          <w:b/>
          <w:bCs/>
          <w:color w:val="auto"/>
        </w:rPr>
        <w:t>£</w:t>
      </w:r>
      <w:r w:rsidR="009B7601">
        <w:rPr>
          <w:b/>
          <w:bCs/>
          <w:color w:val="auto"/>
        </w:rPr>
        <w:t>6712</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3F47DB26"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w:t>
            </w:r>
            <w:proofErr w:type="spellStart"/>
            <w:r w:rsidR="00F5076A" w:rsidRPr="00E27862">
              <w:rPr>
                <w:iCs/>
                <w:color w:val="auto"/>
                <w:szCs w:val="28"/>
                <w:lang w:val="en-US"/>
              </w:rPr>
              <w:t>behaviour</w:t>
            </w:r>
            <w:proofErr w:type="spellEnd"/>
            <w:r w:rsidR="00F5076A" w:rsidRPr="00E27862">
              <w:rPr>
                <w:iCs/>
                <w:color w:val="auto"/>
                <w:szCs w:val="28"/>
                <w:lang w:val="en-US"/>
              </w:rPr>
              <w:t xml:space="preserve"> management and </w:t>
            </w:r>
            <w:r w:rsidR="00A473BE">
              <w:rPr>
                <w:iCs/>
                <w:color w:val="auto"/>
                <w:szCs w:val="28"/>
                <w:lang w:val="en-US"/>
              </w:rPr>
              <w:t>BOSS Relational Bronze Award</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42AF03DE" w:rsidR="009B020C" w:rsidRPr="00E27862" w:rsidRDefault="009B020C" w:rsidP="00F87B43">
            <w:pPr>
              <w:pStyle w:val="TableRowCentered"/>
              <w:spacing w:after="120"/>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C5971DD" w:rsidR="00A172FB" w:rsidRPr="00E27862" w:rsidRDefault="00617190">
            <w:pPr>
              <w:pStyle w:val="TableRowCentered"/>
              <w:jc w:val="left"/>
              <w:rPr>
                <w:color w:val="auto"/>
                <w:sz w:val="22"/>
              </w:rPr>
            </w:pPr>
            <w:r>
              <w:rPr>
                <w:color w:val="auto"/>
                <w:sz w:val="22"/>
              </w:rPr>
              <w:t>4</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4"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DB2557">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6E720F76" w:rsidR="004C2DBA" w:rsidRPr="00E27862" w:rsidRDefault="00617190" w:rsidP="00DB2557">
            <w:pPr>
              <w:pStyle w:val="TableRowCentered"/>
              <w:jc w:val="left"/>
              <w:rPr>
                <w:color w:val="auto"/>
                <w:sz w:val="22"/>
              </w:rPr>
            </w:pPr>
            <w:r>
              <w:rPr>
                <w:color w:val="auto"/>
                <w:sz w:val="22"/>
              </w:rPr>
              <w:t>3</w:t>
            </w:r>
          </w:p>
        </w:tc>
      </w:tr>
      <w:tr w:rsidR="00A473BE" w14:paraId="52AD304A" w14:textId="77777777" w:rsidTr="00617190">
        <w:trPr>
          <w:trHeight w:val="1493"/>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F4D9" w14:textId="66AFF63B" w:rsidR="00A473BE" w:rsidRPr="00E27862" w:rsidRDefault="00A473BE" w:rsidP="00A473BE">
            <w:pPr>
              <w:pStyle w:val="TableRow"/>
              <w:rPr>
                <w:iCs/>
                <w:color w:val="auto"/>
                <w:szCs w:val="28"/>
                <w:lang w:val="en-US"/>
              </w:rPr>
            </w:pPr>
            <w:r w:rsidRPr="00E31C50">
              <w:t xml:space="preserve">ELSA </w:t>
            </w:r>
            <w:r w:rsidR="004600D4">
              <w:t>support worker</w:t>
            </w:r>
            <w:r w:rsidR="00D53216">
              <w:t xml:space="preserve"> </w:t>
            </w:r>
            <w:r w:rsidR="00EF697B">
              <w:t xml:space="preserve">training currently </w:t>
            </w:r>
            <w:r w:rsidR="00D53216">
              <w:t>sourced</w:t>
            </w:r>
            <w:r w:rsidR="00EF697B">
              <w:t xml:space="preserve"> for</w:t>
            </w:r>
            <w:r w:rsidR="00D53216">
              <w:t xml:space="preserve"> Sept 2022</w:t>
            </w:r>
            <w:r w:rsidR="00EF697B">
              <w:t xml:space="preserve"> start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BEAD" w14:textId="18F63F0A" w:rsidR="00A473BE" w:rsidRDefault="00A473BE" w:rsidP="00A473BE">
            <w:pPr>
              <w:pStyle w:val="TableRowCentered"/>
              <w:spacing w:after="120"/>
              <w:ind w:left="37"/>
              <w:jc w:val="left"/>
            </w:pPr>
            <w:r w:rsidRPr="00E31C50">
              <w:t xml:space="preserve">EEF toolkit behaviour interventions +4 </w:t>
            </w:r>
          </w:p>
          <w:p w14:paraId="7FC02762" w14:textId="37FEEAD5" w:rsidR="00A473BE" w:rsidRPr="00E27862" w:rsidRDefault="00A473BE" w:rsidP="00A473BE">
            <w:pPr>
              <w:pStyle w:val="TableRowCentered"/>
              <w:spacing w:after="120"/>
              <w:ind w:left="37"/>
              <w:jc w:val="left"/>
              <w:rPr>
                <w:color w:val="auto"/>
                <w:szCs w:val="22"/>
              </w:rPr>
            </w:pPr>
            <w:r w:rsidRPr="00E31C50">
              <w:t>EEF toolkit social and emotional +4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3F52B07F" w:rsidR="00A473BE" w:rsidRPr="00E27862" w:rsidRDefault="00617190" w:rsidP="00A473BE">
            <w:pPr>
              <w:pStyle w:val="TableRowCentered"/>
              <w:jc w:val="left"/>
              <w:rPr>
                <w:color w:val="auto"/>
                <w:sz w:val="22"/>
              </w:rPr>
            </w:pPr>
            <w:r>
              <w:rPr>
                <w:color w:val="auto"/>
                <w:sz w:val="22"/>
              </w:rPr>
              <w:t>3 and 4</w:t>
            </w:r>
          </w:p>
        </w:tc>
      </w:tr>
      <w:tr w:rsidR="00617190" w14:paraId="26F09DC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BC32" w14:textId="1D2BEF8C" w:rsidR="00617190" w:rsidRPr="00E31C50" w:rsidRDefault="00617190" w:rsidP="00A473BE">
            <w:pPr>
              <w:pStyle w:val="TableRow"/>
            </w:pPr>
            <w:r>
              <w:t>Sensory Circuits introduced and resourced (training accessed through WTT)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C172" w14:textId="3F9EACEC" w:rsidR="00617190" w:rsidRPr="00E31C50" w:rsidRDefault="00617190" w:rsidP="00A473BE">
            <w:pPr>
              <w:pStyle w:val="TableRowCentered"/>
              <w:spacing w:after="120"/>
              <w:ind w:left="37"/>
              <w:jc w:val="left"/>
            </w:pPr>
            <w:r>
              <w:t xml:space="preserve">Participation in a short sensory motor circuit is an effective way both to energise and settle children into the </w:t>
            </w:r>
            <w:r>
              <w:lastRenderedPageBreak/>
              <w:t>school day. The aim is to focus concentration in readiness for the day’s learning. The circuit also encourages the development of the child’s sensory processing skills.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3936" w14:textId="22F7C214" w:rsidR="00617190" w:rsidRPr="00E27862" w:rsidRDefault="0068291A" w:rsidP="00A473BE">
            <w:pPr>
              <w:pStyle w:val="TableRowCentered"/>
              <w:jc w:val="left"/>
              <w:rPr>
                <w:color w:val="auto"/>
                <w:sz w:val="22"/>
              </w:rPr>
            </w:pPr>
            <w:r>
              <w:rPr>
                <w:color w:val="auto"/>
                <w:sz w:val="22"/>
              </w:rPr>
              <w:lastRenderedPageBreak/>
              <w:t>4</w:t>
            </w:r>
          </w:p>
        </w:tc>
      </w:tr>
      <w:tr w:rsidR="009B7601" w14:paraId="0CF6585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B215" w14:textId="48EDFE24" w:rsidR="009B7601" w:rsidRDefault="009B7601" w:rsidP="00A473BE">
            <w:pPr>
              <w:pStyle w:val="TableRow"/>
            </w:pPr>
            <w:r>
              <w:t>Breakfast club prov</w:t>
            </w:r>
            <w:r w:rsidR="009F2363">
              <w:t>i</w:t>
            </w:r>
            <w:r>
              <w:t>sion</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CB3F" w14:textId="26BEC386" w:rsidR="009F2363" w:rsidRPr="009F2363" w:rsidRDefault="009F2363" w:rsidP="009F2363">
            <w:pPr>
              <w:pStyle w:val="Default"/>
            </w:pPr>
            <w:r>
              <w:t>Research evidences children who are hungry must have this basic need met</w:t>
            </w:r>
            <w:r w:rsidRPr="009F2363">
              <w:t xml:space="preserve"> in order for them to have full access to the national curriculum </w:t>
            </w:r>
          </w:p>
          <w:p w14:paraId="54EA7697" w14:textId="77777777" w:rsidR="009B7601" w:rsidRDefault="009B7601" w:rsidP="00A473BE">
            <w:pPr>
              <w:pStyle w:val="TableRowCentered"/>
              <w:spacing w:after="120"/>
              <w:ind w:left="37"/>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6A14" w14:textId="1CD0EA3D" w:rsidR="009B7601" w:rsidRDefault="009B7601" w:rsidP="00A473BE">
            <w:pPr>
              <w:pStyle w:val="TableRowCentered"/>
              <w:jc w:val="left"/>
              <w:rPr>
                <w:color w:val="auto"/>
                <w:sz w:val="22"/>
              </w:rPr>
            </w:pPr>
            <w:r>
              <w:rPr>
                <w:color w:val="auto"/>
                <w:sz w:val="22"/>
              </w:rPr>
              <w:t>3 and 4</w:t>
            </w:r>
          </w:p>
        </w:tc>
      </w:tr>
      <w:tr w:rsidR="0068291A" w14:paraId="0C6893B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7E74" w14:textId="04B509AB" w:rsidR="0068291A" w:rsidRDefault="0068291A" w:rsidP="00A473BE">
            <w:pPr>
              <w:pStyle w:val="TableRow"/>
            </w:pPr>
            <w:r>
              <w:t xml:space="preserve">Access to high quality reading material in the home via Letterbox </w:t>
            </w:r>
            <w:proofErr w:type="spellStart"/>
            <w:r>
              <w:t>Booktrust</w:t>
            </w:r>
            <w:proofErr w:type="spellEnd"/>
            <w:r>
              <w:t xml:space="preserve"> to promote reading for pleasure</w:t>
            </w:r>
            <w:r w:rsidR="00412754">
              <w: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A2725" w14:textId="4E726FFE" w:rsidR="0068291A" w:rsidRPr="0068291A" w:rsidRDefault="0068291A" w:rsidP="00A473BE">
            <w:pPr>
              <w:pStyle w:val="TableRowCentered"/>
              <w:spacing w:after="120"/>
              <w:ind w:left="37"/>
              <w:jc w:val="left"/>
              <w:rPr>
                <w:szCs w:val="24"/>
              </w:rPr>
            </w:pPr>
            <w:r>
              <w:rPr>
                <w:rFonts w:cs="Arial"/>
                <w:szCs w:val="24"/>
              </w:rPr>
              <w:t>S</w:t>
            </w:r>
            <w:r w:rsidRPr="0068291A">
              <w:rPr>
                <w:rFonts w:cs="Arial"/>
                <w:szCs w:val="24"/>
              </w:rPr>
              <w:t>ome children do not have access to books, in particular age appropriate texts. Book packages provide children with their own library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8BB6" w14:textId="22A70DEC" w:rsidR="0068291A" w:rsidRPr="00E27862" w:rsidRDefault="0068291A" w:rsidP="00A473BE">
            <w:pPr>
              <w:pStyle w:val="TableRowCentered"/>
              <w:jc w:val="left"/>
              <w:rPr>
                <w:color w:val="auto"/>
                <w:sz w:val="22"/>
              </w:rPr>
            </w:pPr>
            <w:r>
              <w:rPr>
                <w:color w:val="auto"/>
                <w:sz w:val="22"/>
              </w:rPr>
              <w:t>2, 3 and 4</w:t>
            </w:r>
          </w:p>
        </w:tc>
      </w:tr>
    </w:tbl>
    <w:p w14:paraId="00291E16" w14:textId="77777777" w:rsidR="00877501" w:rsidRDefault="00877501" w:rsidP="00877501">
      <w:pPr>
        <w:spacing w:after="120"/>
        <w:rPr>
          <w:b/>
          <w:bCs/>
          <w:color w:val="104F75"/>
          <w:sz w:val="28"/>
          <w:szCs w:val="28"/>
        </w:rPr>
      </w:pPr>
    </w:p>
    <w:p w14:paraId="2A7D5541" w14:textId="7D854029" w:rsidR="00E66558" w:rsidRDefault="009D71E8" w:rsidP="00877501">
      <w:r>
        <w:rPr>
          <w:b/>
          <w:bCs/>
          <w:color w:val="104F75"/>
          <w:sz w:val="28"/>
          <w:szCs w:val="28"/>
        </w:rPr>
        <w:t xml:space="preserve">Total budgeted cost: </w:t>
      </w:r>
      <w:r w:rsidRPr="00E27862">
        <w:rPr>
          <w:b/>
          <w:bCs/>
          <w:color w:val="auto"/>
          <w:sz w:val="28"/>
          <w:szCs w:val="28"/>
        </w:rPr>
        <w:t>£</w:t>
      </w:r>
      <w:r w:rsidR="004A76E8">
        <w:rPr>
          <w:b/>
          <w:bCs/>
          <w:color w:val="auto"/>
          <w:sz w:val="28"/>
          <w:szCs w:val="28"/>
        </w:rPr>
        <w:t>27698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A473BE">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0F0E" w14:textId="77777777" w:rsidR="00A473BE" w:rsidRDefault="00A473BE" w:rsidP="0095633E">
            <w:pPr>
              <w:suppressAutoHyphens w:val="0"/>
              <w:autoSpaceDN/>
              <w:spacing w:after="120"/>
            </w:pPr>
            <w:r>
              <w:t xml:space="preserve">Due to COVID-19, performance measures have not been published for 2020 to 2021, and 2020 to 2021 results will not be used to hold schools to account. </w:t>
            </w:r>
          </w:p>
          <w:p w14:paraId="0BBA3335" w14:textId="77777777" w:rsidR="00A473BE" w:rsidRDefault="00A473BE" w:rsidP="0095633E">
            <w:pPr>
              <w:suppressAutoHyphens w:val="0"/>
              <w:autoSpaceDN/>
              <w:spacing w:after="120"/>
            </w:pPr>
            <w:r>
              <w:t xml:space="preserve">As a school we carefully track the attainment and progress of all children, we analyse the progress of children entitled to the pupil premium and governors hold leaders to account for this. </w:t>
            </w:r>
          </w:p>
          <w:p w14:paraId="3C46B1B1" w14:textId="16FB40BB" w:rsidR="00A473BE" w:rsidRDefault="00A473BE" w:rsidP="0095633E">
            <w:pPr>
              <w:suppressAutoHyphens w:val="0"/>
              <w:autoSpaceDN/>
              <w:spacing w:after="120"/>
            </w:pPr>
            <w:r>
              <w:t>It is clear that the pandemic has had a greater impact on disadvantaged children, this is shown on our in school data where although progress is seen it is not alway</w:t>
            </w:r>
            <w:r w:rsidR="00D53216">
              <w:t>s the same as for other group, and attendance.</w:t>
            </w:r>
          </w:p>
          <w:p w14:paraId="6344216B" w14:textId="77777777" w:rsidR="00A473BE" w:rsidRDefault="00A473BE" w:rsidP="0095633E">
            <w:pPr>
              <w:suppressAutoHyphens w:val="0"/>
              <w:autoSpaceDN/>
              <w:spacing w:after="120"/>
            </w:pPr>
            <w:r>
              <w:t xml:space="preserve">In September 2020, we assessed all children using a </w:t>
            </w:r>
            <w:proofErr w:type="gramStart"/>
            <w:r>
              <w:t>baseline,</w:t>
            </w:r>
            <w:proofErr w:type="gramEnd"/>
            <w:r>
              <w:t xml:space="preserve"> we have successfully narrowed the gaps between attainment on entry to end of year. This was due to the intervention and recovery curriculum that we put in place.</w:t>
            </w:r>
          </w:p>
          <w:p w14:paraId="15DA2B7C" w14:textId="3FD13DE5" w:rsidR="00A473BE" w:rsidRDefault="00A473BE" w:rsidP="0095633E">
            <w:pPr>
              <w:suppressAutoHyphens w:val="0"/>
              <w:autoSpaceDN/>
              <w:spacing w:after="120"/>
            </w:pPr>
            <w:r>
              <w:t xml:space="preserve">The NELI intervention showed good impact with </w:t>
            </w:r>
            <w:r w:rsidR="004A76E8">
              <w:t>improved language screen scores.</w:t>
            </w:r>
          </w:p>
          <w:p w14:paraId="0C150B50" w14:textId="77777777" w:rsidR="00220984" w:rsidRDefault="00220984" w:rsidP="0095633E">
            <w:pPr>
              <w:suppressAutoHyphens w:val="0"/>
              <w:autoSpaceDN/>
              <w:spacing w:after="120"/>
            </w:pPr>
          </w:p>
          <w:p w14:paraId="2A7D5546" w14:textId="6C802B96" w:rsidR="00A473BE" w:rsidRPr="00220984" w:rsidRDefault="00A473BE" w:rsidP="0095633E">
            <w:pPr>
              <w:suppressAutoHyphens w:val="0"/>
              <w:autoSpaceDN/>
              <w:spacing w:after="120"/>
              <w:rPr>
                <w:color w:val="0070C0"/>
                <w:lang w:eastAsia="en-US"/>
              </w:rPr>
            </w:pPr>
          </w:p>
        </w:tc>
      </w:tr>
      <w:bookmarkEnd w:id="15"/>
      <w:bookmarkEnd w:id="16"/>
      <w:bookmarkEnd w:id="17"/>
    </w:tbl>
    <w:p w14:paraId="2A7D555F" w14:textId="77777777" w:rsidR="00E66558" w:rsidRDefault="00E66558">
      <w:pPr>
        <w:spacing w:after="0" w:line="240" w:lineRule="auto"/>
      </w:pPr>
    </w:p>
    <w:sectPr w:rsidR="00E66558">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4A76E8" w:rsidRDefault="004A76E8">
      <w:pPr>
        <w:spacing w:after="0" w:line="240" w:lineRule="auto"/>
      </w:pPr>
      <w:r>
        <w:separator/>
      </w:r>
    </w:p>
  </w:endnote>
  <w:endnote w:type="continuationSeparator" w:id="0">
    <w:p w14:paraId="3DF31A89" w14:textId="77777777" w:rsidR="004A76E8" w:rsidRDefault="004A76E8">
      <w:pPr>
        <w:spacing w:after="0" w:line="240" w:lineRule="auto"/>
      </w:pPr>
      <w:r>
        <w:continuationSeparator/>
      </w:r>
    </w:p>
  </w:endnote>
  <w:endnote w:type="continuationNotice" w:id="1">
    <w:p w14:paraId="6C351671" w14:textId="77777777" w:rsidR="004A76E8" w:rsidRDefault="004A7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CAC27D1" w:rsidR="004A76E8" w:rsidRDefault="004A76E8">
    <w:pPr>
      <w:pStyle w:val="Footer"/>
      <w:ind w:firstLine="4513"/>
    </w:pPr>
    <w:r>
      <w:fldChar w:fldCharType="begin"/>
    </w:r>
    <w:r>
      <w:instrText xml:space="preserve"> PAGE </w:instrText>
    </w:r>
    <w:r>
      <w:fldChar w:fldCharType="separate"/>
    </w:r>
    <w:r w:rsidR="002B329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4A76E8" w:rsidRDefault="004A76E8">
      <w:pPr>
        <w:spacing w:after="0" w:line="240" w:lineRule="auto"/>
      </w:pPr>
      <w:r>
        <w:separator/>
      </w:r>
    </w:p>
  </w:footnote>
  <w:footnote w:type="continuationSeparator" w:id="0">
    <w:p w14:paraId="7B8645D3" w14:textId="77777777" w:rsidR="004A76E8" w:rsidRDefault="004A76E8">
      <w:pPr>
        <w:spacing w:after="0" w:line="240" w:lineRule="auto"/>
      </w:pPr>
      <w:r>
        <w:continuationSeparator/>
      </w:r>
    </w:p>
  </w:footnote>
  <w:footnote w:type="continuationNotice" w:id="1">
    <w:p w14:paraId="2F51779E" w14:textId="77777777" w:rsidR="004A76E8" w:rsidRDefault="004A76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38F5C"/>
    <w:multiLevelType w:val="hybridMultilevel"/>
    <w:tmpl w:val="E9D62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3"/>
  </w:num>
  <w:num w:numId="6">
    <w:abstractNumId w:val="17"/>
  </w:num>
  <w:num w:numId="7">
    <w:abstractNumId w:val="23"/>
  </w:num>
  <w:num w:numId="8">
    <w:abstractNumId w:val="28"/>
  </w:num>
  <w:num w:numId="9">
    <w:abstractNumId w:val="26"/>
  </w:num>
  <w:num w:numId="10">
    <w:abstractNumId w:val="24"/>
  </w:num>
  <w:num w:numId="11">
    <w:abstractNumId w:val="7"/>
  </w:num>
  <w:num w:numId="12">
    <w:abstractNumId w:val="27"/>
  </w:num>
  <w:num w:numId="13">
    <w:abstractNumId w:val="21"/>
  </w:num>
  <w:num w:numId="14">
    <w:abstractNumId w:val="11"/>
  </w:num>
  <w:num w:numId="15">
    <w:abstractNumId w:val="20"/>
  </w:num>
  <w:num w:numId="16">
    <w:abstractNumId w:val="31"/>
  </w:num>
  <w:num w:numId="17">
    <w:abstractNumId w:val="12"/>
  </w:num>
  <w:num w:numId="18">
    <w:abstractNumId w:val="15"/>
  </w:num>
  <w:num w:numId="19">
    <w:abstractNumId w:val="1"/>
  </w:num>
  <w:num w:numId="20">
    <w:abstractNumId w:val="19"/>
  </w:num>
  <w:num w:numId="21">
    <w:abstractNumId w:val="2"/>
  </w:num>
  <w:num w:numId="22">
    <w:abstractNumId w:val="16"/>
  </w:num>
  <w:num w:numId="23">
    <w:abstractNumId w:val="30"/>
  </w:num>
  <w:num w:numId="24">
    <w:abstractNumId w:val="25"/>
  </w:num>
  <w:num w:numId="25">
    <w:abstractNumId w:val="4"/>
  </w:num>
  <w:num w:numId="26">
    <w:abstractNumId w:val="13"/>
  </w:num>
  <w:num w:numId="27">
    <w:abstractNumId w:val="18"/>
  </w:num>
  <w:num w:numId="28">
    <w:abstractNumId w:val="22"/>
  </w:num>
  <w:num w:numId="29">
    <w:abstractNumId w:val="29"/>
  </w:num>
  <w:num w:numId="30">
    <w:abstractNumId w:val="5"/>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2CA"/>
    <w:rsid w:val="001854B9"/>
    <w:rsid w:val="00187D51"/>
    <w:rsid w:val="00192D9B"/>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297"/>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754"/>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0D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A76E8"/>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190"/>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291A"/>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D55"/>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601"/>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226"/>
    <w:rsid w:val="009E7DEE"/>
    <w:rsid w:val="009F058A"/>
    <w:rsid w:val="009F05A7"/>
    <w:rsid w:val="009F1C80"/>
    <w:rsid w:val="009F1FBC"/>
    <w:rsid w:val="009F2363"/>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3BE"/>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96D9B"/>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20E"/>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216"/>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048F"/>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697B"/>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0C8"/>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paragraph" w:customStyle="1" w:styleId="Default">
    <w:name w:val="Default"/>
    <w:rsid w:val="009F2363"/>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SEL/EEF_Social_and_Emotional_Learn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choosing-a-phonics-te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fc4813a7-6522-4e15-89a2-8c9508ac84b8"/>
    <ds:schemaRef ds:uri="http://www.w3.org/XML/1998/namespace"/>
    <ds:schemaRef ds:uri="f65edd37-60b1-4ef0-a8b9-99e1686f0d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10556</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Sonya Ripley</cp:lastModifiedBy>
  <cp:revision>3</cp:revision>
  <cp:lastPrinted>2014-09-17T13:26:00Z</cp:lastPrinted>
  <dcterms:created xsi:type="dcterms:W3CDTF">2022-02-03T14:01:00Z</dcterms:created>
  <dcterms:modified xsi:type="dcterms:W3CDTF">2022-02-03T15:08:00Z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